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12745" cy="61849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809818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912744" cy="6184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35pt;height:48.70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0"/>
        <w:jc w:val="center"/>
        <w:spacing w:after="120" w:line="240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32"/>
          <w:szCs w:val="32"/>
        </w:rPr>
        <w:t xml:space="preserve">Иркутский Роскадастр актуализирует сведения ЕГРН в рамках муниципальной реформы в Иркутской области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contextualSpacing/>
        <w:ind w:left="0" w:firstLine="720"/>
        <w:jc w:val="both"/>
        <w:spacing w:after="120" w:line="240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contextualSpacing/>
        <w:ind w:left="0" w:firstLine="720"/>
        <w:jc w:val="both"/>
        <w:spacing w:after="120" w:line="240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Филиал ППК «Роскадастр» по Иркутской области продолжает активную работу по внесению изменений в Единый государственный реестр недвижимости (ЕГРН) в связи с масштабным преобразованием системы местного самоуправления в регионе.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contextualSpacing/>
        <w:ind w:left="0" w:firstLine="720"/>
        <w:jc w:val="both"/>
        <w:spacing w:after="120" w:line="240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 Приангарье реализуется реформа, предусматривающая переход районов в статус муниципальных округов и внедрение одноуровневой системы управления. Ключевые цели преобразований — повышение качества администрирования, консолидация ресурсов для участия в фе</w:t>
      </w:r>
      <w:r>
        <w:rPr>
          <w:rFonts w:ascii="Tinos" w:hAnsi="Tinos" w:eastAsia="Tinos" w:cs="Tinos"/>
          <w:sz w:val="28"/>
          <w:szCs w:val="28"/>
        </w:rPr>
        <w:t xml:space="preserve">деральных и региональных программах. Соответствующий закон был принят в декабре 2025 года. По завершении всех этапов реформы в регионе будут действовать </w:t>
      </w:r>
      <w:r>
        <w:rPr>
          <w:rFonts w:ascii="Tinos" w:hAnsi="Tinos" w:eastAsia="Tinos" w:cs="Tinos"/>
          <w:sz w:val="28"/>
          <w:szCs w:val="28"/>
        </w:rPr>
        <w:t xml:space="preserve">10 городских и 32 муниципальных округа.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contextualSpacing/>
        <w:ind w:left="0" w:firstLine="720"/>
        <w:jc w:val="both"/>
        <w:spacing w:after="120" w:line="240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sz w:val="28"/>
          <w:szCs w:val="28"/>
        </w:rPr>
        <w:t xml:space="preserve">«В первом полугодии 2026 года специалистами регионального Роскадастра из ЕГРН исключены сведения о границах 145 муниципальных образований, расположенных на территориях Заларинского, Нижнеилимского, Тайшетско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го, Иркутского, Качугского, Балаганского, Жигаловского, Усть-Удинского и Нукутского районов. Взамен в ЕГРН внесены актуальные данные о границах 9 вновь образованных муниципальных округов»</w:t>
      </w:r>
      <w:r>
        <w:rPr>
          <w:rFonts w:ascii="Tinos" w:hAnsi="Tinos" w:eastAsia="Tinos" w:cs="Tinos"/>
          <w:sz w:val="28"/>
          <w:szCs w:val="28"/>
        </w:rPr>
        <w:t xml:space="preserve">, – </w:t>
      </w:r>
      <w:r>
        <w:rPr>
          <w:rFonts w:ascii="Tinos" w:hAnsi="Tinos" w:eastAsia="Tinos" w:cs="Tinos"/>
          <w:sz w:val="28"/>
          <w:szCs w:val="28"/>
        </w:rPr>
        <w:t xml:space="preserve">отметила заместитель директора-главный технолог филиала ППК «Роскадастр» по Иркутской области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Любовь Рыбаченко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contextualSpacing/>
        <w:ind w:left="0" w:firstLine="720"/>
        <w:jc w:val="both"/>
        <w:spacing w:after="120" w:line="240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До конц</w:t>
      </w:r>
      <w:r>
        <w:rPr>
          <w:rFonts w:ascii="Tinos" w:hAnsi="Tinos" w:eastAsia="Tinos" w:cs="Tinos"/>
          <w:sz w:val="28"/>
          <w:szCs w:val="28"/>
        </w:rPr>
        <w:t xml:space="preserve">а 2026 года запланирован очередной этап обновления пространственных данных. </w:t>
      </w:r>
      <w:r>
        <w:rPr>
          <w:rFonts w:ascii="Tinos" w:hAnsi="Tinos" w:eastAsia="Tinos" w:cs="Tinos"/>
          <w:sz w:val="28"/>
          <w:szCs w:val="28"/>
        </w:rPr>
        <w:t xml:space="preserve">филиалу ППК «Роскадастр» по Иркутской области</w:t>
      </w:r>
      <w:r/>
      <w:r>
        <w:rPr>
          <w:rFonts w:ascii="Tinos" w:hAnsi="Tinos" w:eastAsia="Tinos" w:cs="Tinos"/>
          <w:sz w:val="28"/>
          <w:szCs w:val="28"/>
        </w:rPr>
        <w:t xml:space="preserve"> предстоит исключить сведения о местоположении границ 10 муниципальных образований Киренского района и внести в ЕГРН информацию о вновь созданном муниципальном ок</w:t>
      </w:r>
      <w:r>
        <w:rPr>
          <w:rFonts w:ascii="Tinos" w:hAnsi="Tinos" w:eastAsia="Tinos" w:cs="Tinos"/>
          <w:sz w:val="28"/>
          <w:szCs w:val="28"/>
        </w:rPr>
        <w:t xml:space="preserve">руге на этой территории.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contextualSpacing/>
        <w:ind w:left="0" w:firstLine="720"/>
        <w:jc w:val="both"/>
        <w:spacing w:after="120" w:line="240" w:lineRule="auto"/>
        <w:rPr>
          <w:rFonts w:ascii="Tinos" w:hAnsi="Tinos" w:eastAsia="Tinos" w:cs="Tinos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Работа по синхронизации данных реестра недвижимости с новым административно-территориальным устройством региона продолжается в штатном режиме. </w:t>
      </w:r>
      <w:r>
        <w:rPr>
          <w:rFonts w:ascii="Tinos" w:hAnsi="Tinos" w:eastAsia="Tinos" w:cs="Tinos"/>
          <w:sz w:val="28"/>
          <w:szCs w:val="28"/>
        </w:rPr>
        <w:t xml:space="preserve">Все мероприятия по преобразованию муниципальных образований планируется завершить до 2030 года.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left="0" w:firstLine="720"/>
        <w:jc w:val="both"/>
        <w:spacing w:after="120" w:line="240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contextualSpacing/>
        <w:ind w:left="0" w:firstLine="720"/>
        <w:jc w:val="both"/>
        <w:spacing w:after="120" w:line="240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contextualSpacing/>
        <w:ind w:left="0" w:firstLine="720"/>
        <w:jc w:val="both"/>
        <w:spacing w:after="120" w:line="240" w:lineRule="auto"/>
        <w:rPr>
          <w:rFonts w:ascii="Tinos" w:hAnsi="Tinos" w:eastAsia="Tinos" w:cs="Tinos"/>
          <w:sz w:val="28"/>
          <w:szCs w:val="28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sectPr>
      <w:footnotePr/>
      <w:endnotePr/>
      <w:type w:val="nextPage"/>
      <w:pgSz w:w="11906" w:h="16838" w:orient="portrait"/>
      <w:pgMar w:top="1134" w:right="707" w:bottom="1134" w:left="1560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Noto Sans Devanagari">
    <w:panose1 w:val="020B050204050402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0"/>
    <w:next w:val="830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1"/>
    <w:link w:val="674"/>
    <w:uiPriority w:val="10"/>
    <w:rPr>
      <w:sz w:val="48"/>
      <w:szCs w:val="48"/>
    </w:rPr>
  </w:style>
  <w:style w:type="paragraph" w:styleId="676">
    <w:name w:val="Subtitle"/>
    <w:basedOn w:val="830"/>
    <w:next w:val="830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1"/>
    <w:link w:val="676"/>
    <w:uiPriority w:val="11"/>
    <w:rPr>
      <w:sz w:val="24"/>
      <w:szCs w:val="24"/>
    </w:rPr>
  </w:style>
  <w:style w:type="paragraph" w:styleId="678">
    <w:name w:val="Quote"/>
    <w:basedOn w:val="830"/>
    <w:next w:val="830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0"/>
    <w:next w:val="830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1"/>
    <w:link w:val="682"/>
    <w:uiPriority w:val="99"/>
  </w:style>
  <w:style w:type="paragraph" w:styleId="684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1"/>
    <w:link w:val="684"/>
    <w:uiPriority w:val="99"/>
  </w:style>
  <w:style w:type="character" w:styleId="686">
    <w:name w:val="Caption Char"/>
    <w:basedOn w:val="831"/>
    <w:link w:val="840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ind w:firstLine="709"/>
      <w:jc w:val="both"/>
      <w:spacing w:line="276" w:lineRule="auto"/>
    </w:p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>
    <w:name w:val="Hyperlink"/>
    <w:basedOn w:val="831"/>
    <w:uiPriority w:val="99"/>
    <w:unhideWhenUsed/>
    <w:rPr>
      <w:color w:val="0000ff" w:themeColor="hyperlink"/>
      <w:u w:val="single"/>
    </w:rPr>
  </w:style>
  <w:style w:type="character" w:styleId="835" w:customStyle="1">
    <w:name w:val="Текст выноски Знак"/>
    <w:basedOn w:val="831"/>
    <w:link w:val="843"/>
    <w:uiPriority w:val="99"/>
    <w:semiHidden/>
    <w:qFormat/>
    <w:rPr>
      <w:rFonts w:ascii="Tahoma" w:hAnsi="Tahoma" w:cs="Tahoma"/>
      <w:sz w:val="16"/>
      <w:szCs w:val="16"/>
    </w:rPr>
  </w:style>
  <w:style w:type="character" w:styleId="836">
    <w:name w:val="FollowedHyperlink"/>
    <w:basedOn w:val="831"/>
    <w:uiPriority w:val="99"/>
    <w:semiHidden/>
    <w:unhideWhenUsed/>
    <w:rPr>
      <w:color w:val="800080" w:themeColor="followedHyperlink"/>
      <w:u w:val="single"/>
    </w:rPr>
  </w:style>
  <w:style w:type="paragraph" w:styleId="837" w:customStyle="1">
    <w:name w:val="Заголовок"/>
    <w:basedOn w:val="830"/>
    <w:next w:val="838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38">
    <w:name w:val="Body Text"/>
    <w:basedOn w:val="830"/>
    <w:pPr>
      <w:spacing w:after="140"/>
    </w:pPr>
  </w:style>
  <w:style w:type="paragraph" w:styleId="839">
    <w:name w:val="List"/>
    <w:basedOn w:val="838"/>
    <w:rPr>
      <w:rFonts w:ascii="PT Astra Serif" w:hAnsi="PT Astra Serif" w:cs="Noto Sans Devanagari"/>
    </w:rPr>
  </w:style>
  <w:style w:type="paragraph" w:styleId="840" w:customStyle="1">
    <w:name w:val="Caption"/>
    <w:basedOn w:val="830"/>
    <w:link w:val="686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41">
    <w:name w:val="index heading"/>
    <w:basedOn w:val="830"/>
    <w:qFormat/>
    <w:pPr>
      <w:suppressLineNumbers/>
    </w:pPr>
    <w:rPr>
      <w:rFonts w:ascii="PT Astra Serif" w:hAnsi="PT Astra Serif" w:cs="Noto Sans Devanagari"/>
    </w:rPr>
  </w:style>
  <w:style w:type="paragraph" w:styleId="842">
    <w:name w:val="Normal (Web)"/>
    <w:basedOn w:val="830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styleId="843">
    <w:name w:val="Balloon Text"/>
    <w:basedOn w:val="830"/>
    <w:link w:val="835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Филиал ФГБУ "ФКП Росреестра" по Иркутской области</Company>
  <DocSecurity>4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Светлана Николаевна</dc:creator>
  <dc:language>ru-RU</dc:language>
  <cp:lastModifiedBy>senskaya_ea</cp:lastModifiedBy>
  <cp:revision>14</cp:revision>
  <dcterms:created xsi:type="dcterms:W3CDTF">2026-07-20T07:54:00Z</dcterms:created>
  <dcterms:modified xsi:type="dcterms:W3CDTF">2026-08-12T07:36:13Z</dcterms:modified>
</cp:coreProperties>
</file>