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76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b/>
          <w:sz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12921" cy="618435"/>
                <wp:effectExtent l="0" t="0" r="0" b="0"/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8885479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2912920" cy="618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29.36pt;height:48.70pt;mso-wrap-distance-left:0.00pt;mso-wrap-distance-top:0.00pt;mso-wrap-distance-right:0.00pt;mso-wrap-distance-bottom:0.00pt;rotation:0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33"/>
        <w:jc w:val="center"/>
        <w:spacing w:line="276" w:lineRule="auto"/>
        <w:rPr>
          <w:rFonts w:ascii="Tinos" w:hAnsi="Tinos" w:cs="Tinos"/>
          <w:b/>
          <w:bCs/>
          <w:sz w:val="32"/>
          <w:szCs w:val="32"/>
          <w:highlight w:val="none"/>
        </w:rPr>
      </w:pPr>
      <w:r>
        <w:rPr>
          <w:rFonts w:ascii="Tinos" w:hAnsi="Tinos" w:eastAsia="Tinos" w:cs="Tinos"/>
          <w:b/>
          <w:bCs/>
          <w:sz w:val="32"/>
          <w:szCs w:val="32"/>
        </w:rPr>
        <w:t xml:space="preserve">Сведения ЕГРН об об</w:t>
      </w:r>
      <w:r>
        <w:rPr>
          <w:rFonts w:ascii="Tinos" w:hAnsi="Tinos" w:eastAsia="Tinos" w:cs="Tinos"/>
          <w:b/>
          <w:bCs/>
          <w:color w:val="000000"/>
          <w:sz w:val="32"/>
          <w:szCs w:val="32"/>
        </w:rPr>
        <w:t xml:space="preserve">ъ</w:t>
      </w:r>
      <w:r>
        <w:rPr>
          <w:rFonts w:ascii="Tinos" w:hAnsi="Tinos" w:eastAsia="Tinos" w:cs="Tinos"/>
          <w:b/>
          <w:bCs/>
          <w:sz w:val="32"/>
          <w:szCs w:val="32"/>
        </w:rPr>
        <w:t xml:space="preserve">екте недвижимости — быстро, безвозмездно, безопасно</w:t>
      </w:r>
      <w:r>
        <w:rPr>
          <w:rFonts w:ascii="Tinos" w:hAnsi="Tinos" w:eastAsia="Tinos" w:cs="Tinos"/>
          <w:b/>
          <w:bCs/>
          <w:sz w:val="32"/>
          <w:szCs w:val="32"/>
        </w:rPr>
      </w:r>
      <w:r>
        <w:rPr>
          <w:rFonts w:ascii="Tinos" w:hAnsi="Tinos" w:cs="Tinos"/>
          <w:b/>
          <w:bCs/>
          <w:sz w:val="32"/>
          <w:szCs w:val="32"/>
          <w:highlight w:val="none"/>
        </w:rPr>
      </w:r>
    </w:p>
    <w:p>
      <w:pPr>
        <w:pStyle w:val="833"/>
        <w:jc w:val="center"/>
        <w:spacing w:line="276" w:lineRule="auto"/>
        <w:rPr>
          <w:rFonts w:ascii="Tinos" w:hAnsi="Tinos" w:cs="Tinos"/>
          <w:b/>
          <w:bCs/>
          <w:sz w:val="32"/>
          <w:szCs w:val="32"/>
        </w:rPr>
      </w:pPr>
      <w:r>
        <w:rPr>
          <w:rFonts w:ascii="Tinos" w:hAnsi="Tinos" w:eastAsia="Tinos" w:cs="Tinos"/>
          <w:b/>
          <w:bCs/>
          <w:sz w:val="32"/>
          <w:szCs w:val="32"/>
        </w:rPr>
      </w:r>
      <w:r>
        <w:rPr>
          <w:rFonts w:ascii="Tinos" w:hAnsi="Tinos" w:eastAsia="Tinos" w:cs="Tinos"/>
          <w:b/>
          <w:bCs/>
          <w:sz w:val="32"/>
          <w:szCs w:val="32"/>
        </w:rPr>
      </w:r>
      <w:r>
        <w:rPr>
          <w:rFonts w:ascii="Tinos" w:hAnsi="Tinos" w:cs="Tinos"/>
          <w:b/>
          <w:bCs/>
          <w:sz w:val="32"/>
          <w:szCs w:val="32"/>
        </w:rPr>
      </w:r>
    </w:p>
    <w:p>
      <w:pPr>
        <w:contextualSpacing/>
        <w:ind w:left="0" w:right="0" w:firstLine="720"/>
        <w:jc w:val="both"/>
        <w:spacing w:line="276" w:lineRule="auto"/>
        <w:widowControl/>
        <w:rPr>
          <w:rFonts w:ascii="Tinos" w:hAnsi="Tinos" w:eastAsia="Tinos" w:cs="Tinos"/>
          <w:color w:val="00000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Уже на протяжении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многих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лет на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официальном сайте Росреестра </w:t>
      </w:r>
      <w:r>
        <w:rPr>
          <w:rFonts w:ascii="Tinos" w:hAnsi="Tinos" w:eastAsia="Tinos" w:cs="Tinos"/>
          <w:color w:val="000000"/>
          <w:sz w:val="28"/>
          <w:szCs w:val="28"/>
        </w:rPr>
      </w:r>
      <w:hyperlink r:id="rId9" w:tooltip="https://rosreestr.gov.ru/" w:history="1">
        <w:r>
          <w:rPr>
            <w:rFonts w:ascii="Tinos" w:hAnsi="Tinos" w:eastAsia="Tinos" w:cs="Tinos"/>
            <w:color w:val="000000"/>
            <w:sz w:val="28"/>
            <w:szCs w:val="28"/>
          </w:rPr>
          <w:t xml:space="preserve">https://rosreestr.gov.ru/</w:t>
        </w:r>
      </w:hyperlink>
      <w:r>
        <w:rPr>
          <w:rFonts w:ascii="Tinos" w:hAnsi="Tinos" w:eastAsia="Tinos" w:cs="Tinos"/>
          <w:color w:val="000000"/>
          <w:sz w:val="28"/>
          <w:szCs w:val="28"/>
        </w:rPr>
        <w:t xml:space="preserve"> функционирует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электронн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ый сервис, при помощи которого возможно в режиме реального времени получить бесплатно информацию о любом объекте недвижимости в пределах границ территории Российской Федерации. Называется он «Справочная информация по объектам недвижимости в режиме online».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pStyle w:val="833"/>
        <w:contextualSpacing/>
        <w:ind w:left="0" w:right="0" w:firstLine="720"/>
        <w:jc w:val="both"/>
        <w:spacing w:line="276" w:lineRule="auto"/>
        <w:widowControl/>
        <w:rPr>
          <w:rFonts w:ascii="Tinos" w:hAnsi="Tinos" w:cs="Tinos"/>
          <w:color w:val="000000"/>
          <w:sz w:val="28"/>
          <w:szCs w:val="28"/>
        </w:rPr>
        <w:suppressLineNumbers w:val="0"/>
      </w:pPr>
      <w:r>
        <w:rPr>
          <w:rFonts w:ascii="Tinos" w:hAnsi="Tinos" w:eastAsia="Tinos" w:cs="Tinos"/>
          <w:color w:val="000000"/>
          <w:sz w:val="28"/>
          <w:szCs w:val="28"/>
        </w:rPr>
        <w:t xml:space="preserve">При наличии информации об адресе недвижимости данный сервис позво</w:t>
      </w:r>
      <w:r>
        <w:rPr>
          <w:rFonts w:ascii="Tinos" w:hAnsi="Tinos" w:eastAsia="Tinos" w:cs="Tinos"/>
          <w:color w:val="000000"/>
          <w:sz w:val="28"/>
          <w:szCs w:val="28"/>
          <w:shd w:val="clear" w:color="auto" w:fill="auto"/>
        </w:rPr>
        <w:t xml:space="preserve">л</w:t>
      </w:r>
      <w:r>
        <w:rPr>
          <w:rFonts w:ascii="Tinos" w:hAnsi="Tinos" w:eastAsia="Tinos" w:cs="Tinos"/>
          <w:color w:val="000000"/>
          <w:sz w:val="28"/>
          <w:szCs w:val="28"/>
          <w:shd w:val="clear" w:color="auto" w:fill="auto"/>
        </w:rPr>
        <w:t xml:space="preserve">яе</w:t>
      </w:r>
      <w:r>
        <w:rPr>
          <w:rFonts w:ascii="Tinos" w:hAnsi="Tinos" w:eastAsia="Tinos" w:cs="Tinos"/>
          <w:color w:val="000000"/>
          <w:sz w:val="28"/>
          <w:szCs w:val="28"/>
          <w:shd w:val="clear" w:color="auto" w:fill="auto"/>
        </w:rPr>
        <w:t xml:space="preserve">т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легко определить кадастровый но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мер объекта. Также сервис отлично работает по поиску сведений как по кадастровому номеру, так и по условному (устаревшему) номеру, что значительно расширяет возможности поиска и облегчает процедуру для пользователей, которые не имеют актуальной информации.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pStyle w:val="833"/>
        <w:contextualSpacing/>
        <w:ind w:left="0" w:right="0" w:firstLine="720"/>
        <w:jc w:val="both"/>
        <w:spacing w:line="276" w:lineRule="auto"/>
        <w:widowControl/>
        <w:rPr>
          <w:rFonts w:ascii="Tinos" w:hAnsi="Tinos" w:cs="Tinos"/>
          <w:sz w:val="28"/>
          <w:szCs w:val="28"/>
        </w:rPr>
        <w:suppressLineNumbers w:val="0"/>
      </w:pPr>
      <w:r>
        <w:rPr>
          <w:rFonts w:ascii="Tinos" w:hAnsi="Tinos" w:eastAsia="Tinos" w:cs="Tinos"/>
          <w:color w:val="000000"/>
          <w:sz w:val="28"/>
          <w:szCs w:val="28"/>
        </w:rPr>
        <w:t xml:space="preserve">Главное преимущество данного сервиса заключается в возможности моментального получения общей информации об объекте недвижимого имущества, например,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о площади, назначении, наличии или отсутствии зарегистрированных прав, ограничений таких прав и обременений недвижимого имущества.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33"/>
        <w:contextualSpacing/>
        <w:ind w:firstLine="720"/>
        <w:jc w:val="both"/>
        <w:spacing w:line="276" w:lineRule="auto"/>
        <w:rPr>
          <w:rFonts w:ascii="Tinos" w:hAnsi="Tinos" w:cs="Tinos"/>
          <w:sz w:val="28"/>
          <w:szCs w:val="28"/>
        </w:rP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Эти сведе</w:t>
      </w:r>
      <w:r>
        <w:rPr>
          <w:rFonts w:ascii="Tinos" w:hAnsi="Tinos" w:eastAsia="Tinos" w:cs="Tinos"/>
          <w:sz w:val="28"/>
          <w:szCs w:val="28"/>
        </w:rPr>
        <w:t xml:space="preserve">ния могут быть полезны потенциальным покупателям и профессионалам рынка недвижимости в качестве информации для подготовительной проверки объекта. Физическим лицам этот электронный сервис позволяет защититься от мошенников и недобросовестных продавцов, позв</w:t>
      </w:r>
      <w:r>
        <w:rPr>
          <w:rFonts w:ascii="Tinos" w:hAnsi="Tinos" w:eastAsia="Tinos" w:cs="Tinos"/>
          <w:sz w:val="28"/>
          <w:szCs w:val="28"/>
        </w:rPr>
        <w:t xml:space="preserve">оляя узнать, не находится ли приобретаемое или съемное жилье в залоге у банка или под арестом. Юридическим лицам получение справочной информации может быть полезно в процессе совершения сделок с недвижимостью, а также при аренде офисных или иных помещений.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33"/>
        <w:contextualSpacing/>
        <w:ind w:firstLine="720"/>
        <w:jc w:val="both"/>
        <w:spacing w:line="276" w:lineRule="auto"/>
        <w:rPr>
          <w:rFonts w:ascii="Tinos" w:hAnsi="Tinos" w:cs="Tinos"/>
          <w:sz w:val="28"/>
          <w:szCs w:val="28"/>
        </w:rP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Следует отметить, что в сети интернет немало сайтов-двойников, внешне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схожих с официальным сайтом </w:t>
      </w:r>
      <w:r>
        <w:rPr>
          <w:rFonts w:ascii="Tinos" w:hAnsi="Tinos" w:eastAsia="Tinos" w:cs="Tinos"/>
          <w:sz w:val="28"/>
          <w:szCs w:val="28"/>
        </w:rPr>
        <w:t xml:space="preserve">ведомства, которые копируют символику и название, заявляя, что уполномочены действовать от лица Росреестра. Они нередко предоставляют пользователям неактуальные или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недостоверные сведения, кроме того имеют место факты истребования оплаты за информацию, аналогичную содержащейся в онлайн сервисе «Справочная информация по объектам недвижимости в режиме online» 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33"/>
        <w:contextualSpacing/>
        <w:ind w:firstLine="720"/>
        <w:jc w:val="both"/>
        <w:spacing w:line="276" w:lineRule="auto"/>
        <w:rPr>
          <w:b/>
          <w:bCs/>
        </w:rPr>
        <w:suppressLineNumbers w:val="0"/>
      </w:pPr>
      <w:r>
        <w:rPr>
          <w:rFonts w:ascii="Tinos" w:hAnsi="Tinos" w:eastAsia="Tinos" w:cs="Tinos"/>
          <w:i/>
          <w:iCs/>
          <w:sz w:val="28"/>
          <w:szCs w:val="28"/>
        </w:rPr>
        <w:t xml:space="preserve">«При необходимости получения сведений об объекте недвижимости важно помнить, что актуальную, объективную и достоверную информацию об объектах недвижимости и (или) их правообладателях можно получить исключительно на официальном сайте Росреестра </w:t>
      </w:r>
      <w:r>
        <w:rPr>
          <w:rFonts w:ascii="Tinos" w:hAnsi="Tinos" w:eastAsia="Tinos" w:cs="Tinos"/>
        </w:rPr>
      </w:r>
      <w:r/>
      <w:hyperlink r:id="rId10" w:tooltip="https://rosreestr.gov.ru/" w:history="1">
        <w:r>
          <w:rPr>
            <w:rFonts w:ascii="Tinos" w:hAnsi="Tinos" w:eastAsia="Tinos" w:cs="Tinos"/>
            <w:color w:val="000000"/>
            <w:sz w:val="28"/>
            <w:szCs w:val="28"/>
          </w:rPr>
          <w:t xml:space="preserve">https://rosreestr.gov.ru/</w:t>
        </w:r>
      </w:hyperlink>
      <w:r/>
      <w:r>
        <w:rPr>
          <w:rFonts w:ascii="Tinos" w:hAnsi="Tinos" w:eastAsia="Tinos" w:cs="Tinos"/>
        </w:rPr>
      </w:r>
      <w:r>
        <w:rPr>
          <w:rFonts w:ascii="Tinos" w:hAnsi="Tinos" w:eastAsia="Tinos" w:cs="Tinos"/>
          <w:i/>
          <w:iCs/>
          <w:sz w:val="28"/>
          <w:szCs w:val="28"/>
        </w:rPr>
        <w:t xml:space="preserve">. За информацию, представленную на сайтах-двойниках, а также предлагаемые посредниками услуги, ведомство ответственности не несет»,</w:t>
      </w:r>
      <w:r>
        <w:rPr>
          <w:rFonts w:ascii="Tinos" w:hAnsi="Tinos" w:eastAsia="Tinos" w:cs="Tinos"/>
          <w:sz w:val="28"/>
          <w:szCs w:val="28"/>
        </w:rPr>
        <w:t xml:space="preserve"> - отмечает заместитель директора — главный технолог филиала ППК «Роскадастр» по Иркутской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Любовь Рыбаченко.</w:t>
      </w:r>
      <w:r>
        <w:rPr>
          <w:b/>
          <w:bCs/>
        </w:rPr>
      </w:r>
    </w:p>
    <w:p>
      <w:pPr>
        <w:pStyle w:val="833"/>
        <w:jc w:val="both"/>
        <w:spacing w:line="276" w:lineRule="auto"/>
      </w:pPr>
      <w:r/>
      <w:r/>
    </w:p>
    <w:sectPr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1134" w:right="567" w:bottom="1134" w:left="1134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Noto Sans Devanagari">
    <w:panose1 w:val="020B0502040504020204"/>
  </w:font>
  <w:font w:name="Tahoma">
    <w:panose1 w:val="020B0604030504040204"/>
  </w:font>
  <w:font w:name="Times New Roman">
    <w:panose1 w:val="02020603050405020304"/>
  </w:font>
  <w:font w:name="PT Astra Serif">
    <w:panose1 w:val="020A0603040505020204"/>
  </w:font>
  <w:font w:name="Map Symbols">
    <w:panose1 w:val="02000603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3"/>
    <w:next w:val="833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3"/>
    <w:next w:val="833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3"/>
    <w:next w:val="833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3"/>
    <w:next w:val="833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3"/>
    <w:next w:val="833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3"/>
    <w:next w:val="833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3"/>
    <w:next w:val="833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3"/>
    <w:next w:val="833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3"/>
    <w:next w:val="833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3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3"/>
    <w:next w:val="833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3"/>
    <w:next w:val="833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3"/>
    <w:next w:val="833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3"/>
    <w:next w:val="833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3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3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3"/>
    <w:next w:val="833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3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3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3"/>
    <w:next w:val="833"/>
    <w:uiPriority w:val="99"/>
    <w:unhideWhenUsed/>
    <w:pPr>
      <w:spacing w:after="0" w:afterAutospacing="0"/>
    </w:pPr>
  </w:style>
  <w:style w:type="table" w:styleId="83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33" w:default="1">
    <w:name w:val="Normal"/>
    <w:next w:val="833"/>
    <w:pPr>
      <w:widowControl/>
    </w:pPr>
    <w:rPr>
      <w:rFonts w:ascii="Map Symbols" w:hAnsi="Map Symbols" w:eastAsia="Times New Roman" w:cs="Map Symbols"/>
      <w:color w:val="auto"/>
      <w:sz w:val="20"/>
      <w:szCs w:val="20"/>
      <w:lang w:val="ru-RU" w:eastAsia="zh-CN" w:bidi="ar-SA"/>
    </w:rPr>
  </w:style>
  <w:style w:type="character" w:styleId="834">
    <w:name w:val="Основной шрифт абзаца"/>
    <w:next w:val="834"/>
    <w:link w:val="833"/>
  </w:style>
  <w:style w:type="character" w:styleId="835">
    <w:name w:val="Основной шрифт абзаца3"/>
    <w:next w:val="835"/>
    <w:link w:val="833"/>
  </w:style>
  <w:style w:type="character" w:styleId="836">
    <w:name w:val="Основной шрифт абзаца2"/>
    <w:next w:val="836"/>
    <w:link w:val="833"/>
  </w:style>
  <w:style w:type="character" w:styleId="837">
    <w:name w:val="Основной шрифт абзаца1"/>
    <w:next w:val="837"/>
    <w:link w:val="833"/>
  </w:style>
  <w:style w:type="character" w:styleId="838">
    <w:name w:val="Текст выноски Знак"/>
    <w:basedOn w:val="837"/>
    <w:next w:val="838"/>
    <w:link w:val="833"/>
    <w:rPr>
      <w:rFonts w:ascii="Tahoma" w:hAnsi="Tahoma" w:cs="Tahoma"/>
      <w:sz w:val="16"/>
      <w:szCs w:val="16"/>
    </w:rPr>
  </w:style>
  <w:style w:type="character" w:styleId="839">
    <w:name w:val="Интернет-ссылка"/>
    <w:next w:val="839"/>
    <w:link w:val="833"/>
    <w:rPr>
      <w:color w:val="000080"/>
      <w:u w:val="single"/>
    </w:rPr>
  </w:style>
  <w:style w:type="paragraph" w:styleId="840">
    <w:name w:val="Заголовок"/>
    <w:basedOn w:val="833"/>
    <w:next w:val="841"/>
    <w:link w:val="833"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41">
    <w:name w:val="Основной текст"/>
    <w:basedOn w:val="833"/>
    <w:next w:val="841"/>
    <w:link w:val="833"/>
    <w:pPr>
      <w:spacing w:before="0" w:after="140" w:line="276" w:lineRule="auto"/>
    </w:pPr>
  </w:style>
  <w:style w:type="paragraph" w:styleId="842">
    <w:name w:val="Список"/>
    <w:basedOn w:val="841"/>
    <w:next w:val="842"/>
    <w:link w:val="833"/>
    <w:rPr>
      <w:rFonts w:ascii="PT Astra Serif" w:hAnsi="PT Astra Serif" w:cs="Noto Sans Devanagari"/>
    </w:rPr>
  </w:style>
  <w:style w:type="paragraph" w:styleId="843">
    <w:name w:val="Название"/>
    <w:basedOn w:val="833"/>
    <w:next w:val="843"/>
    <w:link w:val="833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44">
    <w:name w:val="Указатель"/>
    <w:basedOn w:val="833"/>
    <w:next w:val="844"/>
    <w:link w:val="833"/>
    <w:pPr>
      <w:suppressLineNumbers/>
    </w:pPr>
    <w:rPr>
      <w:rFonts w:ascii="PT Astra Serif" w:hAnsi="PT Astra Serif" w:cs="Noto Sans Devanagari"/>
      <w:lang w:val="en-US" w:eastAsia="en-US" w:bidi="en-US"/>
    </w:rPr>
  </w:style>
  <w:style w:type="paragraph" w:styleId="845">
    <w:name w:val="Название объекта"/>
    <w:basedOn w:val="833"/>
    <w:next w:val="845"/>
    <w:link w:val="833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46">
    <w:name w:val="Указатель3"/>
    <w:basedOn w:val="833"/>
    <w:next w:val="846"/>
    <w:link w:val="833"/>
    <w:pPr>
      <w:suppressLineNumbers/>
    </w:pPr>
    <w:rPr>
      <w:rFonts w:ascii="PT Astra Serif" w:hAnsi="PT Astra Serif" w:cs="Noto Sans Devanagari"/>
      <w:lang w:val="en-US" w:bidi="en-US"/>
    </w:rPr>
  </w:style>
  <w:style w:type="paragraph" w:styleId="847">
    <w:name w:val="Название объекта2"/>
    <w:basedOn w:val="833"/>
    <w:next w:val="847"/>
    <w:link w:val="833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48">
    <w:name w:val="Указатель2"/>
    <w:basedOn w:val="833"/>
    <w:next w:val="848"/>
    <w:link w:val="833"/>
    <w:pPr>
      <w:suppressLineNumbers/>
    </w:pPr>
    <w:rPr>
      <w:rFonts w:ascii="PT Astra Serif" w:hAnsi="PT Astra Serif" w:cs="Noto Sans Devanagari"/>
      <w:lang w:val="en-US" w:bidi="en-US"/>
    </w:rPr>
  </w:style>
  <w:style w:type="paragraph" w:styleId="849">
    <w:name w:val="Название объекта1"/>
    <w:basedOn w:val="833"/>
    <w:next w:val="849"/>
    <w:link w:val="833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50">
    <w:name w:val="Указатель1"/>
    <w:basedOn w:val="833"/>
    <w:next w:val="850"/>
    <w:link w:val="833"/>
    <w:pPr>
      <w:suppressLineNumbers/>
    </w:pPr>
    <w:rPr>
      <w:rFonts w:ascii="PT Astra Serif" w:hAnsi="PT Astra Serif" w:cs="Noto Sans Devanagari"/>
      <w:lang w:val="en-US" w:bidi="en-US"/>
    </w:rPr>
  </w:style>
  <w:style w:type="paragraph" w:styleId="851">
    <w:name w:val="Текст выноски"/>
    <w:basedOn w:val="833"/>
    <w:next w:val="851"/>
    <w:link w:val="833"/>
    <w:rPr>
      <w:rFonts w:ascii="Tahoma" w:hAnsi="Tahoma" w:cs="Tahoma"/>
      <w:sz w:val="16"/>
      <w:szCs w:val="16"/>
    </w:rPr>
  </w:style>
  <w:style w:type="paragraph" w:styleId="852">
    <w:name w:val="Содержимое таблицы"/>
    <w:basedOn w:val="833"/>
    <w:next w:val="852"/>
    <w:link w:val="833"/>
    <w:pPr>
      <w:widowControl w:val="off"/>
      <w:suppressLineNumbers/>
    </w:pPr>
  </w:style>
  <w:style w:type="paragraph" w:styleId="853">
    <w:name w:val="Заголовок таблицы"/>
    <w:basedOn w:val="852"/>
    <w:next w:val="853"/>
    <w:link w:val="833"/>
    <w:pPr>
      <w:jc w:val="center"/>
      <w:suppressLineNumbers/>
    </w:pPr>
    <w:rPr>
      <w:b/>
      <w:bCs/>
    </w:rPr>
  </w:style>
  <w:style w:type="character" w:styleId="854" w:default="1">
    <w:name w:val="Default Paragraph Font"/>
    <w:uiPriority w:val="1"/>
    <w:semiHidden/>
    <w:unhideWhenUsed/>
  </w:style>
  <w:style w:type="numbering" w:styleId="85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rosreestr.gov.ru/" TargetMode="External"/><Relationship Id="rId10" Type="http://schemas.openxmlformats.org/officeDocument/2006/relationships/hyperlink" Target="https://rosreestr.gov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Rasputko_IV</dc:creator>
  <cp:lastModifiedBy>senskaya_ea</cp:lastModifiedBy>
  <cp:revision>21</cp:revision>
  <dcterms:created xsi:type="dcterms:W3CDTF">2014-05-12T00:35:00Z</dcterms:created>
  <dcterms:modified xsi:type="dcterms:W3CDTF">2026-03-16T01:03:54Z</dcterms:modified>
</cp:coreProperties>
</file>